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58FF" w14:textId="77777777" w:rsidR="00041D03" w:rsidRDefault="00041D03">
      <w:pPr>
        <w:pStyle w:val="BodyText"/>
        <w:spacing w:before="68"/>
        <w:ind w:left="0"/>
        <w:rPr>
          <w:rFonts w:ascii="Times New Roman"/>
        </w:rPr>
      </w:pPr>
    </w:p>
    <w:p w14:paraId="6C2A040D" w14:textId="77777777" w:rsidR="00041D03" w:rsidRDefault="00000000">
      <w:pPr>
        <w:pStyle w:val="BodyText"/>
        <w:spacing w:before="1" w:line="321" w:lineRule="exact"/>
      </w:pPr>
      <w:r>
        <w:rPr>
          <w:color w:val="3F454C"/>
        </w:rPr>
        <w:t>Abstract</w:t>
      </w:r>
      <w:r>
        <w:rPr>
          <w:color w:val="3F454C"/>
          <w:spacing w:val="7"/>
        </w:rPr>
        <w:t xml:space="preserve"> </w:t>
      </w:r>
      <w:r>
        <w:rPr>
          <w:color w:val="3F454C"/>
          <w:spacing w:val="-4"/>
        </w:rPr>
        <w:t>6242</w:t>
      </w:r>
    </w:p>
    <w:p w14:paraId="22EA69A0" w14:textId="77777777" w:rsidR="00041D03" w:rsidRDefault="00000000">
      <w:pPr>
        <w:pStyle w:val="BodyText"/>
        <w:spacing w:before="28" w:line="194" w:lineRule="auto"/>
      </w:pPr>
      <w:r>
        <w:rPr>
          <w:color w:val="3F454C"/>
        </w:rPr>
        <w:t>CUP-ONE Trial: A prospective double-blind validation of molecular classifiers in the diagnosis of Cancer of Unknown Primary and clinical outcomes</w:t>
      </w:r>
    </w:p>
    <w:p w14:paraId="15E2DF31" w14:textId="77777777" w:rsidR="00041D03" w:rsidRDefault="00000000">
      <w:pPr>
        <w:pStyle w:val="BodyText"/>
        <w:tabs>
          <w:tab w:val="left" w:pos="1193"/>
        </w:tabs>
        <w:spacing w:before="8" w:line="216" w:lineRule="auto"/>
        <w:ind w:right="6138"/>
      </w:pPr>
      <w:r>
        <w:rPr>
          <w:color w:val="3F454C"/>
          <w:spacing w:val="-2"/>
        </w:rPr>
        <w:t>Type:</w:t>
      </w:r>
      <w:r>
        <w:rPr>
          <w:color w:val="3F454C"/>
        </w:rPr>
        <w:tab/>
        <w:t>Late-Breaking Abstract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Category:</w:t>
      </w:r>
      <w:r>
        <w:rPr>
          <w:color w:val="3F454C"/>
          <w:spacing w:val="-30"/>
        </w:rPr>
        <w:t xml:space="preserve"> </w:t>
      </w:r>
      <w:r>
        <w:rPr>
          <w:color w:val="3F454C"/>
        </w:rPr>
        <w:t>Translational research (agnostic)</w:t>
      </w:r>
    </w:p>
    <w:p w14:paraId="3B9919E4" w14:textId="77777777" w:rsidR="00041D03" w:rsidRDefault="00000000">
      <w:pPr>
        <w:pStyle w:val="BodyText"/>
        <w:spacing w:before="15" w:line="199" w:lineRule="auto"/>
        <w:ind w:left="1193" w:right="354" w:hanging="1078"/>
      </w:pPr>
      <w:r>
        <w:rPr>
          <w:color w:val="3F454C"/>
          <w:position w:val="5"/>
        </w:rPr>
        <w:t>Authors:</w:t>
      </w:r>
      <w:r>
        <w:rPr>
          <w:color w:val="3F454C"/>
          <w:spacing w:val="80"/>
          <w:position w:val="5"/>
        </w:rPr>
        <w:t xml:space="preserve"> </w:t>
      </w:r>
      <w:r>
        <w:rPr>
          <w:color w:val="3F454C"/>
          <w:u w:val="single" w:color="3F454C"/>
        </w:rPr>
        <w:t>H. Wasan</w:t>
      </w:r>
      <w:r>
        <w:rPr>
          <w:color w:val="3F454C"/>
          <w:position w:val="8"/>
          <w:sz w:val="19"/>
        </w:rPr>
        <w:t>1</w:t>
      </w:r>
      <w:r>
        <w:rPr>
          <w:color w:val="3F454C"/>
        </w:rPr>
        <w:t>, J. Wang</w:t>
      </w:r>
      <w:r>
        <w:rPr>
          <w:color w:val="3F454C"/>
          <w:position w:val="8"/>
          <w:sz w:val="19"/>
        </w:rPr>
        <w:t>2</w:t>
      </w:r>
      <w:r>
        <w:rPr>
          <w:color w:val="3F454C"/>
        </w:rPr>
        <w:t>, E.M. Elaine McCartney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, H. Soifer</w:t>
      </w:r>
      <w:r>
        <w:rPr>
          <w:color w:val="3F454C"/>
          <w:position w:val="8"/>
          <w:sz w:val="19"/>
        </w:rPr>
        <w:t>4</w:t>
      </w:r>
      <w:r>
        <w:rPr>
          <w:color w:val="3F454C"/>
        </w:rPr>
        <w:t xml:space="preserve">, K. </w:t>
      </w:r>
      <w:proofErr w:type="spellStart"/>
      <w:r>
        <w:rPr>
          <w:color w:val="3F454C"/>
        </w:rPr>
        <w:t>Treuner</w:t>
      </w:r>
      <w:proofErr w:type="spellEnd"/>
      <w:r>
        <w:rPr>
          <w:color w:val="3F454C"/>
          <w:position w:val="8"/>
          <w:sz w:val="19"/>
        </w:rPr>
        <w:t>4</w:t>
      </w:r>
      <w:r>
        <w:rPr>
          <w:color w:val="3F454C"/>
        </w:rPr>
        <w:t>, Y. Zhang</w:t>
      </w:r>
      <w:r>
        <w:rPr>
          <w:color w:val="3F454C"/>
          <w:position w:val="8"/>
          <w:sz w:val="19"/>
        </w:rPr>
        <w:t>4</w:t>
      </w:r>
      <w:r>
        <w:rPr>
          <w:color w:val="3F454C"/>
        </w:rPr>
        <w:t>, C. Schnabel</w:t>
      </w:r>
      <w:r>
        <w:rPr>
          <w:color w:val="3F454C"/>
          <w:position w:val="8"/>
          <w:sz w:val="19"/>
        </w:rPr>
        <w:t>4</w:t>
      </w:r>
      <w:r>
        <w:rPr>
          <w:color w:val="3F454C"/>
        </w:rPr>
        <w:t>, K. carty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, L. McMahon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, T.R.J. Evans</w:t>
      </w:r>
      <w:r>
        <w:rPr>
          <w:color w:val="3F454C"/>
          <w:position w:val="8"/>
          <w:sz w:val="19"/>
        </w:rPr>
        <w:t>5</w:t>
      </w:r>
      <w:r>
        <w:rPr>
          <w:color w:val="3F454C"/>
        </w:rPr>
        <w:t>, M. Nicolson</w:t>
      </w:r>
      <w:r>
        <w:rPr>
          <w:color w:val="3F454C"/>
          <w:position w:val="8"/>
          <w:sz w:val="19"/>
        </w:rPr>
        <w:t>6</w:t>
      </w:r>
      <w:r>
        <w:rPr>
          <w:color w:val="3F454C"/>
        </w:rPr>
        <w:t>, H. Thygesen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, J.R. Roche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, K. Oien</w:t>
      </w:r>
      <w:r>
        <w:rPr>
          <w:color w:val="3F454C"/>
          <w:position w:val="8"/>
          <w:sz w:val="19"/>
        </w:rPr>
        <w:t>5</w:t>
      </w:r>
      <w:r>
        <w:rPr>
          <w:color w:val="3F454C"/>
        </w:rPr>
        <w:t xml:space="preserve">; </w:t>
      </w:r>
      <w:r>
        <w:rPr>
          <w:color w:val="3F454C"/>
          <w:position w:val="8"/>
          <w:sz w:val="19"/>
        </w:rPr>
        <w:t>1</w:t>
      </w:r>
      <w:r>
        <w:rPr>
          <w:color w:val="3F454C"/>
        </w:rPr>
        <w:t xml:space="preserve">Cancer Medicine, Hammersmith Hospital - Imperial College Healthcare, London, United Kingdom, </w:t>
      </w:r>
      <w:r>
        <w:rPr>
          <w:color w:val="3F454C"/>
          <w:position w:val="8"/>
          <w:sz w:val="19"/>
        </w:rPr>
        <w:t>2</w:t>
      </w:r>
      <w:r>
        <w:rPr>
          <w:color w:val="3F454C"/>
        </w:rPr>
        <w:t xml:space="preserve">Cellular Pathology, UCLH - University College London Hospital, London, United Kingdom, </w:t>
      </w:r>
      <w:r>
        <w:rPr>
          <w:color w:val="3F454C"/>
          <w:position w:val="8"/>
          <w:sz w:val="19"/>
        </w:rPr>
        <w:t>3</w:t>
      </w:r>
      <w:r>
        <w:rPr>
          <w:color w:val="3F454C"/>
        </w:rPr>
        <w:t>Cancer Research UK Glasgow Clinical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 xml:space="preserve">Trials Unit, University of Glasgow, Glasgow, United Kingdom, </w:t>
      </w:r>
      <w:r>
        <w:rPr>
          <w:color w:val="3F454C"/>
          <w:position w:val="8"/>
          <w:sz w:val="19"/>
        </w:rPr>
        <w:t>4</w:t>
      </w:r>
      <w:r>
        <w:rPr>
          <w:color w:val="3F454C"/>
        </w:rPr>
        <w:t xml:space="preserve">R&amp;D, </w:t>
      </w:r>
      <w:proofErr w:type="spellStart"/>
      <w:r>
        <w:rPr>
          <w:color w:val="3F454C"/>
        </w:rPr>
        <w:t>Biotheranostics</w:t>
      </w:r>
      <w:proofErr w:type="spellEnd"/>
      <w:r>
        <w:rPr>
          <w:color w:val="3F454C"/>
        </w:rPr>
        <w:t xml:space="preserve">, A Hologic Company, San Diego, United States of America, </w:t>
      </w:r>
      <w:r>
        <w:rPr>
          <w:color w:val="3F454C"/>
          <w:position w:val="8"/>
          <w:sz w:val="19"/>
        </w:rPr>
        <w:t>5</w:t>
      </w:r>
      <w:r>
        <w:rPr>
          <w:color w:val="3F454C"/>
        </w:rPr>
        <w:t xml:space="preserve">School of Cancer Sciences, University of Glasgow, Glasgow, United Kingdom, </w:t>
      </w:r>
      <w:r>
        <w:rPr>
          <w:color w:val="3F454C"/>
          <w:position w:val="8"/>
          <w:sz w:val="19"/>
        </w:rPr>
        <w:t>6</w:t>
      </w:r>
      <w:r>
        <w:rPr>
          <w:color w:val="3F454C"/>
        </w:rPr>
        <w:t>Raigmore Hospital, NHS Highland, Inverness, United Kingdom</w:t>
      </w:r>
    </w:p>
    <w:p w14:paraId="7B83176A" w14:textId="77777777" w:rsidR="00041D03" w:rsidRDefault="00000000">
      <w:pPr>
        <w:pStyle w:val="Heading1"/>
      </w:pPr>
      <w:r>
        <w:rPr>
          <w:color w:val="3F454C"/>
          <w:spacing w:val="-2"/>
          <w:w w:val="115"/>
        </w:rPr>
        <w:t>Background</w:t>
      </w:r>
    </w:p>
    <w:p w14:paraId="6F264AAC" w14:textId="77777777" w:rsidR="00041D03" w:rsidRDefault="00000000">
      <w:pPr>
        <w:pStyle w:val="BodyText"/>
        <w:spacing w:line="194" w:lineRule="auto"/>
        <w:ind w:right="210"/>
      </w:pPr>
      <w:r>
        <w:rPr>
          <w:color w:val="3F454C"/>
        </w:rPr>
        <w:t xml:space="preserve">Cancer of unknown primary remains a major challenge with poor prognoses, protracted </w:t>
      </w:r>
      <w:proofErr w:type="gramStart"/>
      <w:r>
        <w:rPr>
          <w:color w:val="3F454C"/>
        </w:rPr>
        <w:t>pathways</w:t>
      </w:r>
      <w:proofErr w:type="gramEnd"/>
      <w:r>
        <w:rPr>
          <w:color w:val="3F454C"/>
        </w:rPr>
        <w:t xml:space="preserve"> and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limitations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of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site-determination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by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immunohistochemistry.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Gene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expression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signatures (GEP) show promise as molecular cancer classifiers, but their utility in diagnosis and prognosis warrants study. The CUP-ONE Trial prospectively compared a 92-gene assay GEP versus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centralized IHC (C-IHC; 10 markers)</w:t>
      </w:r>
    </w:p>
    <w:p w14:paraId="2B0B8A6B" w14:textId="77777777" w:rsidR="00041D03" w:rsidRDefault="00000000">
      <w:pPr>
        <w:pStyle w:val="Heading1"/>
        <w:spacing w:before="317"/>
      </w:pPr>
      <w:r>
        <w:rPr>
          <w:color w:val="3F454C"/>
          <w:spacing w:val="-2"/>
          <w:w w:val="115"/>
        </w:rPr>
        <w:t>Methods</w:t>
      </w:r>
    </w:p>
    <w:p w14:paraId="74C9EDEE" w14:textId="77777777" w:rsidR="00041D03" w:rsidRDefault="00000000">
      <w:pPr>
        <w:pStyle w:val="BodyText"/>
        <w:spacing w:line="194" w:lineRule="auto"/>
        <w:ind w:right="210"/>
      </w:pPr>
      <w:r>
        <w:rPr>
          <w:color w:val="3F454C"/>
        </w:rPr>
        <w:t xml:space="preserve">641 consented patients (36 UK sites; 54 </w:t>
      </w:r>
      <w:proofErr w:type="spellStart"/>
      <w:r>
        <w:rPr>
          <w:color w:val="3F454C"/>
        </w:rPr>
        <w:t>mths</w:t>
      </w:r>
      <w:proofErr w:type="spellEnd"/>
      <w:r>
        <w:rPr>
          <w:color w:val="3F454C"/>
        </w:rPr>
        <w:t xml:space="preserve">) had local pathology &amp; MDT outputs classified as a Reference diagnosis (RD). Tissue was allocated, double-blind, randomized to 3 arms (N): C-IHC (329); CTID (418) </w:t>
      </w:r>
      <w:proofErr w:type="spellStart"/>
      <w:r>
        <w:rPr>
          <w:color w:val="3F454C"/>
        </w:rPr>
        <w:t>CancerTYPE</w:t>
      </w:r>
      <w:proofErr w:type="spellEnd"/>
      <w:r>
        <w:rPr>
          <w:color w:val="3F454C"/>
        </w:rPr>
        <w:t xml:space="preserve"> ID, </w:t>
      </w:r>
      <w:proofErr w:type="spellStart"/>
      <w:r>
        <w:rPr>
          <w:color w:val="3F454C"/>
        </w:rPr>
        <w:t>Biotheranostics</w:t>
      </w:r>
      <w:proofErr w:type="spellEnd"/>
      <w:r>
        <w:rPr>
          <w:color w:val="3F454C"/>
        </w:rPr>
        <w:t xml:space="preserve"> &amp; Healthscope (418; became unviable). Outputs mandated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classification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to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14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cancer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types.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The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Intention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to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diagnose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(ITD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N=392)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set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>had</w:t>
      </w:r>
      <w:r>
        <w:rPr>
          <w:color w:val="3F454C"/>
          <w:spacing w:val="23"/>
        </w:rPr>
        <w:t xml:space="preserve"> </w:t>
      </w:r>
      <w:r>
        <w:rPr>
          <w:color w:val="3F454C"/>
        </w:rPr>
        <w:t xml:space="preserve">at least 1 available classifier output. Primary Endpoint was %match of a classifier to RD-site of origin (ratio: total number Match results and total number in ITD dataset with a confirmed or suspected RD (C/S; N=131)). Secondary endpoints included overall classifier accuracy in </w:t>
      </w:r>
      <w:proofErr w:type="spellStart"/>
      <w:r>
        <w:rPr>
          <w:color w:val="3F454C"/>
        </w:rPr>
        <w:t>evaluables</w:t>
      </w:r>
      <w:proofErr w:type="spellEnd"/>
      <w:r>
        <w:rPr>
          <w:color w:val="3F454C"/>
        </w:rPr>
        <w:t xml:space="preserve"> with a</w:t>
      </w:r>
      <w:r>
        <w:rPr>
          <w:color w:val="3F454C"/>
          <w:spacing w:val="80"/>
        </w:rPr>
        <w:t xml:space="preserve"> </w:t>
      </w:r>
      <w:r>
        <w:rPr>
          <w:color w:val="3F454C"/>
        </w:rPr>
        <w:t xml:space="preserve">C/S site of origin, concordance of classifiers &amp; a pre-specified diagnostic </w:t>
      </w:r>
      <w:proofErr w:type="gramStart"/>
      <w:r>
        <w:rPr>
          <w:color w:val="3F454C"/>
        </w:rPr>
        <w:t>score</w:t>
      </w:r>
      <w:proofErr w:type="gramEnd"/>
    </w:p>
    <w:p w14:paraId="01B9B31C" w14:textId="77777777" w:rsidR="00041D03" w:rsidRDefault="00000000">
      <w:pPr>
        <w:pStyle w:val="Heading1"/>
        <w:spacing w:before="313"/>
      </w:pPr>
      <w:r>
        <w:rPr>
          <w:color w:val="3F454C"/>
          <w:spacing w:val="-2"/>
          <w:w w:val="115"/>
        </w:rPr>
        <w:t>Results</w:t>
      </w:r>
    </w:p>
    <w:p w14:paraId="4C18DF29" w14:textId="77777777" w:rsidR="00041D03" w:rsidRDefault="00000000">
      <w:pPr>
        <w:pStyle w:val="BodyText"/>
        <w:spacing w:line="194" w:lineRule="auto"/>
        <w:ind w:right="210"/>
      </w:pPr>
      <w:r>
        <w:rPr>
          <w:color w:val="3F454C"/>
        </w:rPr>
        <w:t xml:space="preserve">Investigators final classifications (N) were CUP (451), ‘Suspected’ (72) and revised 118 to ‘known’ sites. In the ITD </w:t>
      </w:r>
      <w:proofErr w:type="gramStart"/>
      <w:r>
        <w:rPr>
          <w:color w:val="3F454C"/>
        </w:rPr>
        <w:t>set:</w:t>
      </w:r>
      <w:proofErr w:type="gramEnd"/>
      <w:r>
        <w:rPr>
          <w:color w:val="3F454C"/>
        </w:rPr>
        <w:t xml:space="preserve"> median 67yrs, 50% male, 92% stage IV. 418 (65%) samples were su</w:t>
      </w:r>
      <w:r>
        <w:rPr>
          <w:rFonts w:ascii="Trebuchet MS" w:hAnsi="Trebuchet MS"/>
          <w:color w:val="3F454C"/>
        </w:rPr>
        <w:t>ffi</w:t>
      </w:r>
      <w:r>
        <w:rPr>
          <w:color w:val="3F454C"/>
        </w:rPr>
        <w:t>cient for</w:t>
      </w:r>
      <w:r>
        <w:rPr>
          <w:color w:val="3F454C"/>
          <w:spacing w:val="40"/>
        </w:rPr>
        <w:t xml:space="preserve"> </w:t>
      </w:r>
      <w:r>
        <w:rPr>
          <w:color w:val="3F454C"/>
        </w:rPr>
        <w:t>1 classifier output. Sample inadequacy (C-IHC 7.3%; CTID 13.4%) lead to 306 C-IHC &amp; 362 CTID classifications. In Pair-wise comparisons CTID correctly classified 17.2% [1.9%-29.6%; p=0.0243] more than C-IHC; Agreement of 2 classifiers was 97%. Secondary analysis comparisons showed point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estimates</w:t>
      </w:r>
      <w:r>
        <w:rPr>
          <w:color w:val="3F454C"/>
          <w:spacing w:val="28"/>
        </w:rPr>
        <w:t xml:space="preserve"> </w:t>
      </w:r>
      <w:proofErr w:type="spellStart"/>
      <w:r>
        <w:rPr>
          <w:color w:val="3F454C"/>
        </w:rPr>
        <w:t>favouring</w:t>
      </w:r>
      <w:proofErr w:type="spellEnd"/>
      <w:r>
        <w:rPr>
          <w:color w:val="3F454C"/>
          <w:spacing w:val="28"/>
        </w:rPr>
        <w:t xml:space="preserve"> </w:t>
      </w:r>
      <w:r>
        <w:rPr>
          <w:color w:val="3F454C"/>
        </w:rPr>
        <w:t>CTID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but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not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all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statistically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significant.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Both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classified</w:t>
      </w:r>
      <w:r>
        <w:rPr>
          <w:color w:val="3F454C"/>
          <w:spacing w:val="28"/>
        </w:rPr>
        <w:t xml:space="preserve"> </w:t>
      </w:r>
      <w:r>
        <w:rPr>
          <w:color w:val="3F454C"/>
        </w:rPr>
        <w:t>Lung, Colorectal, Breast and Ovary well but CTID did particularly well with Cholangiocarcinoma /gall bladder (60% accuracy) but not in pancreas (9.1%) versus C-HIC (27.2%). Median OS (</w:t>
      </w:r>
      <w:proofErr w:type="spellStart"/>
      <w:r>
        <w:rPr>
          <w:color w:val="3F454C"/>
        </w:rPr>
        <w:t>mths</w:t>
      </w:r>
      <w:proofErr w:type="spellEnd"/>
      <w:r>
        <w:rPr>
          <w:color w:val="3F454C"/>
        </w:rPr>
        <w:t>) was poor across all 3 groups CUP: 5.3 (4.6-6.4); Suspected: 9.0 (8.3-11.9); Confirmed: 7.8 (5-13)</w:t>
      </w:r>
    </w:p>
    <w:p w14:paraId="71360541" w14:textId="77777777" w:rsidR="00041D03" w:rsidRDefault="00000000">
      <w:pPr>
        <w:pStyle w:val="Heading1"/>
        <w:spacing w:before="312"/>
      </w:pPr>
      <w:r>
        <w:rPr>
          <w:color w:val="3F454C"/>
          <w:spacing w:val="-2"/>
          <w:w w:val="115"/>
        </w:rPr>
        <w:t>Conclusions</w:t>
      </w:r>
    </w:p>
    <w:p w14:paraId="40748BE5" w14:textId="77777777" w:rsidR="00041D03" w:rsidRDefault="00000000">
      <w:pPr>
        <w:pStyle w:val="BodyText"/>
        <w:spacing w:line="194" w:lineRule="auto"/>
        <w:ind w:right="354"/>
      </w:pPr>
      <w:r>
        <w:rPr>
          <w:color w:val="3F454C"/>
        </w:rPr>
        <w:t xml:space="preserve">CUP-ONE assessed accuracy of CTID Vs C-IHC with comparable outcomes but a higher assignment of Cholangiocarcinoma in CUP. Survival was better in the C/S subset but remains poor </w:t>
      </w:r>
      <w:proofErr w:type="gramStart"/>
      <w:r>
        <w:rPr>
          <w:color w:val="3F454C"/>
        </w:rPr>
        <w:t>overall</w:t>
      </w:r>
      <w:proofErr w:type="gramEnd"/>
    </w:p>
    <w:p w14:paraId="52279EA4" w14:textId="77777777" w:rsidR="00041D03" w:rsidRDefault="00000000">
      <w:pPr>
        <w:pStyle w:val="Heading1"/>
        <w:spacing w:before="320"/>
      </w:pPr>
      <w:r>
        <w:rPr>
          <w:color w:val="3F454C"/>
          <w:w w:val="110"/>
        </w:rPr>
        <w:t>Clinical</w:t>
      </w:r>
      <w:r>
        <w:rPr>
          <w:color w:val="3F454C"/>
          <w:spacing w:val="3"/>
          <w:w w:val="110"/>
        </w:rPr>
        <w:t xml:space="preserve"> </w:t>
      </w:r>
      <w:r>
        <w:rPr>
          <w:color w:val="3F454C"/>
          <w:w w:val="110"/>
        </w:rPr>
        <w:t>trial</w:t>
      </w:r>
      <w:r>
        <w:rPr>
          <w:color w:val="3F454C"/>
          <w:spacing w:val="3"/>
          <w:w w:val="110"/>
        </w:rPr>
        <w:t xml:space="preserve"> </w:t>
      </w:r>
      <w:r>
        <w:rPr>
          <w:color w:val="3F454C"/>
          <w:spacing w:val="-2"/>
          <w:w w:val="110"/>
        </w:rPr>
        <w:t>identification</w:t>
      </w:r>
    </w:p>
    <w:p w14:paraId="54FDDA3C" w14:textId="77777777" w:rsidR="00041D03" w:rsidRDefault="00041D03">
      <w:pPr>
        <w:sectPr w:rsidR="00041D03">
          <w:headerReference w:type="default" r:id="rId6"/>
          <w:footerReference w:type="default" r:id="rId7"/>
          <w:type w:val="continuous"/>
          <w:pgSz w:w="11900" w:h="16840"/>
          <w:pgMar w:top="760" w:right="520" w:bottom="1000" w:left="500" w:header="310" w:footer="815" w:gutter="0"/>
          <w:pgNumType w:start="1"/>
          <w:cols w:space="720"/>
        </w:sectPr>
      </w:pPr>
    </w:p>
    <w:p w14:paraId="29AA15C7" w14:textId="77777777" w:rsidR="00041D03" w:rsidRDefault="00000000">
      <w:pPr>
        <w:spacing w:before="65"/>
        <w:ind w:left="116"/>
        <w:rPr>
          <w:rFonts w:ascii="Trebuchet MS"/>
          <w:b/>
        </w:rPr>
      </w:pPr>
      <w:r>
        <w:rPr>
          <w:color w:val="3F454C"/>
        </w:rPr>
        <w:lastRenderedPageBreak/>
        <w:t>ISRCTN</w:t>
      </w:r>
      <w:r>
        <w:rPr>
          <w:color w:val="3F454C"/>
          <w:spacing w:val="62"/>
        </w:rPr>
        <w:t xml:space="preserve"> </w:t>
      </w:r>
      <w:r>
        <w:rPr>
          <w:color w:val="3F454C"/>
        </w:rPr>
        <w:t>registration</w:t>
      </w:r>
      <w:r>
        <w:rPr>
          <w:color w:val="3F454C"/>
          <w:spacing w:val="63"/>
        </w:rPr>
        <w:t xml:space="preserve"> </w:t>
      </w:r>
      <w:r>
        <w:rPr>
          <w:rFonts w:ascii="Trebuchet MS"/>
          <w:b/>
          <w:color w:val="3F454C"/>
          <w:spacing w:val="-2"/>
        </w:rPr>
        <w:t>ISRCTN17282276</w:t>
      </w:r>
    </w:p>
    <w:p w14:paraId="7D122EEF" w14:textId="77777777" w:rsidR="00041D03" w:rsidRDefault="00000000">
      <w:pPr>
        <w:pStyle w:val="BodyText"/>
        <w:spacing w:before="159"/>
      </w:pPr>
      <w:proofErr w:type="spellStart"/>
      <w:r>
        <w:rPr>
          <w:color w:val="3F454C"/>
        </w:rPr>
        <w:t>Eudract</w:t>
      </w:r>
      <w:proofErr w:type="spellEnd"/>
      <w:r>
        <w:rPr>
          <w:color w:val="3F454C"/>
          <w:spacing w:val="14"/>
        </w:rPr>
        <w:t xml:space="preserve"> </w:t>
      </w:r>
      <w:r>
        <w:rPr>
          <w:color w:val="3F454C"/>
        </w:rPr>
        <w:t>Ref</w:t>
      </w:r>
      <w:r>
        <w:rPr>
          <w:color w:val="3F454C"/>
          <w:spacing w:val="14"/>
        </w:rPr>
        <w:t xml:space="preserve"> </w:t>
      </w:r>
      <w:r>
        <w:rPr>
          <w:color w:val="3F454C"/>
        </w:rPr>
        <w:t>2008-000657-</w:t>
      </w:r>
      <w:r>
        <w:rPr>
          <w:color w:val="3F454C"/>
          <w:spacing w:val="-5"/>
        </w:rPr>
        <w:t>35</w:t>
      </w:r>
    </w:p>
    <w:p w14:paraId="3D9F7724" w14:textId="77777777" w:rsidR="00041D03" w:rsidRDefault="00000000">
      <w:pPr>
        <w:pStyle w:val="Heading1"/>
        <w:spacing w:before="305"/>
      </w:pPr>
      <w:r>
        <w:rPr>
          <w:color w:val="3F454C"/>
          <w:w w:val="110"/>
        </w:rPr>
        <w:t>Editorial</w:t>
      </w:r>
      <w:r>
        <w:rPr>
          <w:color w:val="3F454C"/>
          <w:spacing w:val="-1"/>
          <w:w w:val="110"/>
        </w:rPr>
        <w:t xml:space="preserve"> </w:t>
      </w:r>
      <w:r>
        <w:rPr>
          <w:color w:val="3F454C"/>
          <w:spacing w:val="-2"/>
          <w:w w:val="110"/>
        </w:rPr>
        <w:t>acknowledgement</w:t>
      </w:r>
    </w:p>
    <w:p w14:paraId="29AA84B5" w14:textId="77777777" w:rsidR="00041D03" w:rsidRDefault="00000000">
      <w:pPr>
        <w:pStyle w:val="BodyText"/>
        <w:spacing w:before="14"/>
      </w:pPr>
      <w:r>
        <w:rPr>
          <w:color w:val="3F454C"/>
          <w:spacing w:val="-4"/>
        </w:rPr>
        <w:t>None</w:t>
      </w:r>
    </w:p>
    <w:p w14:paraId="0DB1EB6C" w14:textId="77777777" w:rsidR="00041D03" w:rsidRDefault="00000000">
      <w:pPr>
        <w:pStyle w:val="BodyText"/>
        <w:spacing w:before="3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A155A3" wp14:editId="315F5264">
                <wp:simplePos x="0" y="0"/>
                <wp:positionH relativeFrom="page">
                  <wp:posOffset>6595594</wp:posOffset>
                </wp:positionH>
                <wp:positionV relativeFrom="paragraph">
                  <wp:posOffset>197860</wp:posOffset>
                </wp:positionV>
                <wp:extent cx="554355" cy="23431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17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E3BE91" w14:textId="77777777" w:rsidR="00041D03" w:rsidRDefault="00000000">
                            <w:pPr>
                              <w:spacing w:before="9" w:line="343" w:lineRule="exact"/>
                              <w:ind w:left="157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A155A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19.35pt;margin-top:15.6pt;width:43.65pt;height:18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" fillcolor="silver" strokecolor="#ccc" strokeweight=".2825mm">
                <v:path arrowok="t"/>
                <v:textbox inset="0,0,0,0">
                  <w:txbxContent>
                    <w:p w14:paraId="62E3BE91" w14:textId="77777777" w:rsidR="00041D03" w:rsidRDefault="00000000">
                      <w:pPr>
                        <w:spacing w:before="9" w:line="343" w:lineRule="exact"/>
                        <w:ind w:left="157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>Print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41D03">
      <w:pgSz w:w="11900" w:h="16840"/>
      <w:pgMar w:top="760" w:right="520" w:bottom="1000" w:left="500" w:header="31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02E4" w14:textId="77777777" w:rsidR="00F21599" w:rsidRDefault="00F21599">
      <w:r>
        <w:separator/>
      </w:r>
    </w:p>
  </w:endnote>
  <w:endnote w:type="continuationSeparator" w:id="0">
    <w:p w14:paraId="00E123F0" w14:textId="77777777" w:rsidR="00F21599" w:rsidRDefault="00F2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7FA2" w14:textId="77777777" w:rsidR="00041D03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2512" behindDoc="1" locked="0" layoutInCell="1" allowOverlap="1" wp14:anchorId="1A21E20B" wp14:editId="20E98EAC">
              <wp:simplePos x="0" y="0"/>
              <wp:positionH relativeFrom="page">
                <wp:posOffset>215900</wp:posOffset>
              </wp:positionH>
              <wp:positionV relativeFrom="page">
                <wp:posOffset>10035951</wp:posOffset>
              </wp:positionV>
              <wp:extent cx="4180840" cy="1301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0840" cy="130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5FF3F5" w14:textId="77777777" w:rsidR="00041D03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sz w:val="14"/>
                            </w:rPr>
                            <w:t>https://cpaper.ctimeetingtech.com/esmo2023/submission/preview/print?publication_id=6242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1E20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17pt;margin-top:790.25pt;width:329.2pt;height:10.25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" filled="f" stroked="f">
              <v:textbox inset="0,0,0,0">
                <w:txbxContent>
                  <w:p w14:paraId="1B5FF3F5" w14:textId="77777777" w:rsidR="00041D03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pacing w:val="-2"/>
                        <w:sz w:val="14"/>
                      </w:rPr>
                      <w:t>https://cpaper.ctimeetingtech.com/esmo2023/submission/preview/print?publication_id=6242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3024" behindDoc="1" locked="0" layoutInCell="1" allowOverlap="1" wp14:anchorId="3B132BAF" wp14:editId="697FB230">
              <wp:simplePos x="0" y="0"/>
              <wp:positionH relativeFrom="page">
                <wp:posOffset>6807106</wp:posOffset>
              </wp:positionH>
              <wp:positionV relativeFrom="page">
                <wp:posOffset>10035951</wp:posOffset>
              </wp:positionV>
              <wp:extent cx="530860" cy="1301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860" cy="130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5FC141" w14:textId="77777777" w:rsidR="00041D03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/>
                              <w:spacing w:val="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5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132BAF" id="Textbox 4" o:spid="_x0000_s1030" type="#_x0000_t202" style="position:absolute;margin-left:536pt;margin-top:790.25pt;width:41.8pt;height:10.25pt;z-index:-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" filled="f" stroked="f">
              <v:textbox inset="0,0,0,0">
                <w:txbxContent>
                  <w:p w14:paraId="775FC141" w14:textId="77777777" w:rsidR="00041D03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10"/>
                        <w:sz w:val="14"/>
                      </w:rPr>
                      <w:t>Page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rFonts w:ascii="Trebuchet MS"/>
                        <w:spacing w:val="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spacing w:val="5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t>2</w:t>
                    </w:r>
                    <w:r>
                      <w:rPr>
                        <w:rFonts w:ascii="Trebuchet MS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A96B" w14:textId="77777777" w:rsidR="00F21599" w:rsidRDefault="00F21599">
      <w:r>
        <w:separator/>
      </w:r>
    </w:p>
  </w:footnote>
  <w:footnote w:type="continuationSeparator" w:id="0">
    <w:p w14:paraId="793DC3BF" w14:textId="77777777" w:rsidR="00F21599" w:rsidRDefault="00F2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C1E" w14:textId="77777777" w:rsidR="00041D03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1488" behindDoc="1" locked="0" layoutInCell="1" allowOverlap="1" wp14:anchorId="3012478E" wp14:editId="484FCEFA">
              <wp:simplePos x="0" y="0"/>
              <wp:positionH relativeFrom="page">
                <wp:posOffset>215900</wp:posOffset>
              </wp:positionH>
              <wp:positionV relativeFrom="page">
                <wp:posOffset>206151</wp:posOffset>
              </wp:positionV>
              <wp:extent cx="4754245" cy="130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54245" cy="130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BB1722" w14:textId="77777777" w:rsidR="00041D03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#6242:</w:t>
                          </w:r>
                          <w:r>
                            <w:rPr>
                              <w:rFonts w:ascii="Trebuchet MS"/>
                              <w:spacing w:val="3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CUP-ONE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Trial: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prospective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double-blind</w:t>
                          </w:r>
                          <w:r>
                            <w:rPr>
                              <w:rFonts w:ascii="Trebuchet MS"/>
                              <w:spacing w:val="3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validation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molecular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classifiers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spacing w:val="3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4"/>
                            </w:rPr>
                            <w:t>diagnosis</w:t>
                          </w:r>
                          <w:r>
                            <w:rPr>
                              <w:rFonts w:ascii="Trebuchet MS"/>
                              <w:spacing w:val="3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w w:val="105"/>
                              <w:sz w:val="14"/>
                            </w:rPr>
                            <w:t>of...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2478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7pt;margin-top:16.25pt;width:374.35pt;height:10.25pt;z-index:-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" filled="f" stroked="f">
              <v:textbox inset="0,0,0,0">
                <w:txbxContent>
                  <w:p w14:paraId="00BB1722" w14:textId="77777777" w:rsidR="00041D03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105"/>
                        <w:sz w:val="14"/>
                      </w:rPr>
                      <w:t>#6242:</w:t>
                    </w:r>
                    <w:r>
                      <w:rPr>
                        <w:rFonts w:ascii="Trebuchet MS"/>
                        <w:spacing w:val="3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CUP-ONE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Trial: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prospective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double-blind</w:t>
                    </w:r>
                    <w:r>
                      <w:rPr>
                        <w:rFonts w:ascii="Trebuchet MS"/>
                        <w:spacing w:val="3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validation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molecular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classifiers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in</w:t>
                    </w:r>
                    <w:r>
                      <w:rPr>
                        <w:rFonts w:ascii="Trebuchet MS"/>
                        <w:spacing w:val="3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the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4"/>
                      </w:rPr>
                      <w:t>diagnosis</w:t>
                    </w:r>
                    <w:r>
                      <w:rPr>
                        <w:rFonts w:ascii="Trebuchet MS"/>
                        <w:spacing w:val="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105"/>
                        <w:sz w:val="14"/>
                      </w:rPr>
                      <w:t>of...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2000" behindDoc="1" locked="0" layoutInCell="1" allowOverlap="1" wp14:anchorId="38C43618" wp14:editId="5A5C186D">
              <wp:simplePos x="0" y="0"/>
              <wp:positionH relativeFrom="page">
                <wp:posOffset>6477725</wp:posOffset>
              </wp:positionH>
              <wp:positionV relativeFrom="page">
                <wp:posOffset>206151</wp:posOffset>
              </wp:positionV>
              <wp:extent cx="860425" cy="1301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130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155422" w14:textId="77777777" w:rsidR="00041D03" w:rsidRDefault="00000000">
                          <w:pPr>
                            <w:spacing w:before="24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/>
                              <w:spacing w:val="2"/>
                              <w:sz w:val="14"/>
                            </w:rPr>
                            <w:t>14/09/2023,</w:t>
                          </w:r>
                          <w:r>
                            <w:rPr>
                              <w:rFonts w:ascii="Trebuchet MS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sz w:val="14"/>
                            </w:rPr>
                            <w:t>20:49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C43618" id="Textbox 2" o:spid="_x0000_s1028" type="#_x0000_t202" style="position:absolute;margin-left:510.05pt;margin-top:16.25pt;width:67.75pt;height:10.25pt;z-index:-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" filled="f" stroked="f">
              <v:textbox inset="0,0,0,0">
                <w:txbxContent>
                  <w:p w14:paraId="72155422" w14:textId="77777777" w:rsidR="00041D03" w:rsidRDefault="00000000">
                    <w:pPr>
                      <w:spacing w:before="24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pacing w:val="2"/>
                        <w:sz w:val="14"/>
                      </w:rPr>
                      <w:t>14/09/2023,</w:t>
                    </w:r>
                    <w:r>
                      <w:rPr>
                        <w:rFonts w:ascii="Trebuchet MS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sz w:val="14"/>
                      </w:rPr>
                      <w:t>20:49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3"/>
    <w:rsid w:val="00024849"/>
    <w:rsid w:val="00041D03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8AC1"/>
  <w15:docId w15:val="{56EB76AB-1CC9-49C0-BBB9-AE911C9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230"/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1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#6242: CUP-ONE Trial: A prospective double-blind validation of molecular classifiers in the diagnosis of...</dc:title>
  <dc:creator>HSW MB17</dc:creator>
  <cp:lastModifiedBy>John Symons</cp:lastModifiedBy>
  <cp:revision>2</cp:revision>
  <dcterms:created xsi:type="dcterms:W3CDTF">2023-10-28T09:50:00Z</dcterms:created>
  <dcterms:modified xsi:type="dcterms:W3CDTF">2023-10-28T09:50:00Z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Safari</vt:lpwstr>
  </property>
  <property fmtid="{D5CDD505-2E9C-101B-9397-08002B2CF9AE}" pid="4" name="LastSaved">
    <vt:filetime>2023-10-08T00:00:00Z</vt:filetime>
  </property>
  <property fmtid="{D5CDD505-2E9C-101B-9397-08002B2CF9AE}" pid="5" name="Producer">
    <vt:lpwstr>macOS Version 10.15.7 (Build 19H2026) Quartz PDFContext</vt:lpwstr>
  </property>
</Properties>
</file>